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12" w:rsidRDefault="00AC4B12" w:rsidP="00AC4B12">
      <w:pPr>
        <w:jc w:val="center"/>
      </w:pPr>
      <w:r>
        <w:rPr>
          <w:rFonts w:ascii="OpenSansRegular" w:hAnsi="OpenSansRegular"/>
          <w:caps/>
          <w:color w:val="FFFFFF"/>
          <w:shd w:val="clear" w:color="auto" w:fill="346085"/>
        </w:rPr>
        <w:t>РЕШЕНИЯ, ПРИНЯТЫЕ ВЫСШИМ ОРГАНОМ УПРАВЛЕНИЯ ЭМИТЕНТА</w:t>
      </w:r>
    </w:p>
    <w:p w:rsidR="00AC4B12" w:rsidRPr="00AC4B12" w:rsidRDefault="00AC4B12" w:rsidP="00AC4B12">
      <w:pPr>
        <w:shd w:val="clear" w:color="auto" w:fill="FFFFFF"/>
        <w:spacing w:after="0" w:line="333" w:lineRule="atLeast"/>
        <w:rPr>
          <w:rFonts w:ascii="OpenSansRegular" w:eastAsia="Times New Roman" w:hAnsi="OpenSansRegular" w:cs="Times New Roman"/>
          <w:color w:val="333333"/>
          <w:lang w:eastAsia="ru-RU"/>
        </w:rPr>
      </w:pPr>
      <w:r w:rsidRPr="00AC4B12">
        <w:rPr>
          <w:rFonts w:ascii="OpenSansRegular" w:eastAsia="Times New Roman" w:hAnsi="OpenSansRegular" w:cs="Times New Roman"/>
          <w:color w:val="333333"/>
          <w:lang w:eastAsia="ru-RU"/>
        </w:rPr>
        <w:t>Дата раскрытия: 09.04.2022   </w:t>
      </w:r>
    </w:p>
    <w:p w:rsidR="00AC4B12" w:rsidRPr="00AC4B12" w:rsidRDefault="00AC4B12" w:rsidP="00AC4B12">
      <w:pPr>
        <w:shd w:val="clear" w:color="auto" w:fill="FFFFFF"/>
        <w:spacing w:after="0" w:line="333" w:lineRule="atLeast"/>
        <w:jc w:val="right"/>
        <w:rPr>
          <w:rFonts w:ascii="OpenSansRegular" w:eastAsia="Times New Roman" w:hAnsi="OpenSansRegular" w:cs="Times New Roman"/>
          <w:color w:val="333333"/>
          <w:lang w:eastAsia="ru-RU"/>
        </w:rPr>
      </w:pPr>
      <w:r w:rsidRPr="00AC4B12">
        <w:rPr>
          <w:rFonts w:ascii="OpenSansRegular" w:eastAsia="Times New Roman" w:hAnsi="OpenSansRegular" w:cs="Times New Roman"/>
          <w:color w:val="333333"/>
          <w:lang w:eastAsia="ru-RU"/>
        </w:rPr>
        <w:t>Дата опубликования модератором*: 12.04.2022   </w:t>
      </w:r>
    </w:p>
    <w:tbl>
      <w:tblPr>
        <w:tblW w:w="1416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3395"/>
        <w:gridCol w:w="903"/>
        <w:gridCol w:w="903"/>
        <w:gridCol w:w="2133"/>
        <w:gridCol w:w="667"/>
        <w:gridCol w:w="667"/>
        <w:gridCol w:w="184"/>
        <w:gridCol w:w="183"/>
        <w:gridCol w:w="187"/>
        <w:gridCol w:w="680"/>
        <w:gridCol w:w="680"/>
        <w:gridCol w:w="230"/>
        <w:gridCol w:w="230"/>
        <w:gridCol w:w="448"/>
        <w:gridCol w:w="663"/>
        <w:gridCol w:w="661"/>
        <w:gridCol w:w="325"/>
        <w:gridCol w:w="325"/>
        <w:gridCol w:w="22"/>
      </w:tblGrid>
      <w:tr w:rsidR="00AC4B12" w:rsidRPr="00AC4B12" w:rsidTr="00D124C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1.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НАИМЕНОВАНИЕ ЭМИТЕНТА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Полное: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"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Oqtosh-don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"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aksiyadorlik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jamiyati</w:t>
            </w:r>
            <w:proofErr w:type="spellEnd"/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"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Oqtosh-don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" AJ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Наименование биржевого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тикера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OKDO</w:t>
            </w:r>
          </w:p>
        </w:tc>
      </w:tr>
      <w:tr w:rsidR="00AC4B12" w:rsidRPr="00AC4B12" w:rsidTr="00D124C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2.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КОНТАКТНЫЕ ДАННЫЕ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Самаркандская область, г. Акташ, ул.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Ж.Мирзаев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, дом 2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Самаркандская область, г. Акташ, ул.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Ж.Мирзаев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, дом 2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7A2BCE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hyperlink r:id="rId4" w:history="1">
              <w:r w:rsidR="00AC4B12" w:rsidRPr="00AC4B12">
                <w:rPr>
                  <w:rFonts w:ascii="OpenSansRegular" w:eastAsia="Times New Roman" w:hAnsi="OpenSansRegular" w:cs="Times New Roman"/>
                  <w:color w:val="337AB7"/>
                  <w:lang w:eastAsia="ru-RU"/>
                </w:rPr>
                <w:t>oqtoshdon@mail.ru</w:t>
              </w:r>
            </w:hyperlink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7A2BCE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hyperlink r:id="rId5" w:tgtFrame="_blank" w:history="1">
              <w:r w:rsidR="00AC4B12" w:rsidRPr="00AC4B12">
                <w:rPr>
                  <w:rFonts w:ascii="OpenSansRegular" w:eastAsia="Times New Roman" w:hAnsi="OpenSansRegular" w:cs="Times New Roman"/>
                  <w:color w:val="337AB7"/>
                  <w:lang w:eastAsia="ru-RU"/>
                </w:rPr>
                <w:t>www.oqtoshdon.uz</w:t>
              </w:r>
            </w:hyperlink>
          </w:p>
        </w:tc>
      </w:tr>
      <w:tr w:rsidR="00AC4B12" w:rsidRPr="00AC4B12" w:rsidTr="00D124CF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3.</w:t>
            </w:r>
          </w:p>
        </w:tc>
        <w:tc>
          <w:tcPr>
            <w:tcW w:w="0" w:type="auto"/>
            <w:gridSpan w:val="19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b/>
                <w:bCs/>
                <w:color w:val="333333"/>
                <w:lang w:eastAsia="ru-RU"/>
              </w:rPr>
              <w:t>ИНФОРМАЦИЯ О СУЩЕСТВЕННОМ ФАКТЕ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Вид общего собрания: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годовое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Дата проведения общего собрания: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31.03.2022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09.04.2022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Место проведения общего собрания: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Самарқанд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вилояти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Нарпай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тумани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Ж.Мирзаев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кўчаси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, 2-уй</w:t>
            </w:r>
          </w:p>
        </w:tc>
      </w:tr>
      <w:tr w:rsidR="00AC4B12" w:rsidRPr="00AC4B12" w:rsidTr="00D124CF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Кворум общего собрания:</w:t>
            </w:r>
          </w:p>
        </w:tc>
        <w:tc>
          <w:tcPr>
            <w:tcW w:w="0" w:type="auto"/>
            <w:gridSpan w:val="1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83,66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№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Вопросы, поставленные на голосование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Итоги голосования</w:t>
            </w:r>
          </w:p>
        </w:tc>
      </w:tr>
      <w:tr w:rsidR="00D124CF" w:rsidRPr="00AC4B12" w:rsidTr="00D124CF">
        <w:trPr>
          <w:gridAfter w:val="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против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воздержались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AC4B12" w:rsidRPr="00AC4B12" w:rsidRDefault="00AC4B12" w:rsidP="00AC4B12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количество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%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количество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количество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Акциядорлар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умумий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йиғилишининг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саноқ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ишчи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президуми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аъзоларини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Акциядорлар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умумий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йиғилишининг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кун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тартиби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регламентини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молия-хўжалик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Бизнес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режасининг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бажарилиши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тўғрисида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ижроия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органи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раҳбарининг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Ўзбекистон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Республикаси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Президентининг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2019-йил 24-августдаги ПҚ-4426-сонли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қарори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талабларига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мувофиқ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Ишлаб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чиқаришни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маҳаллийлаштириш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саноатда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кооперация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алоқаларини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кенгайтириш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масалалари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директорининг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бухгалтерия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баланси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натижалар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тўғрисидаги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ҳамда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фойда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зарарларини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ташқи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аудиторлик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“JAVLON AUDIT SERVIS” MCHJ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(МҲХС, МҲМС)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ҳамда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2021-йил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СМК, СЙК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уларнинг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бажарилиши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фоизларининг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ҳисобланган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миқдорини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натижалари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юзасидан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ташқи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эшитиш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2021-йил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фойдасини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тақсимланиши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устав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фондидаги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акцияларга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ҳисобланадиган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дивиденд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миқдорини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белгиланиши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дивиденд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тўлаш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муддатини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аъзоларини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қайта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сайлаш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уларни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моддий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рағбатлантириш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: 1.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Хужабеков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Шавкат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1 427 242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10.2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2.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Узаков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Шухрат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Аъламович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1 427 240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10.3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3. Хасанов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Баходир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Рамзиддинович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1 427 240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4.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Жумаев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Нодир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Жахонович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1 427 240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10.5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5.Тўраев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Рахмонқул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Юлдошевич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855 770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10.6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6. Хасанов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Сардор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855 768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10.7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7.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Шахноза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855 768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10.8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8.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Ёқубов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Ўктам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Адиманнат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11.1.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аъзоларини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қайта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сайлаш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уларни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моддий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рағбатлантириш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: 1. Хасанова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Гавҳар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11.2.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2.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Жавоҳир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11.3.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3. Хасанова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Орзигул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Назиржон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ижроия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органи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рахбари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билан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тузилган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меҳнат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шартномасини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муддатини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узайтириш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уларни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моддий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рағбатлантириш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13.1.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аудиторлик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текширувини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ўтказиш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аудитор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хизматини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кўрсатувчи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ташкилотлар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таклифини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кўриб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чиқиш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ҳамда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уларга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тўланадиган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хизмат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ҳақи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миқдорини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белгилаш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: 1. “JAVLON АUDIT SERVES” МЧЖ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аудиторлик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хизмат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хақи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миқдори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50 000 000 сум)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13.2.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2. “AFROSIYOB AUDIT STANDART” МЧЖ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аудиторлик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хизмат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хақи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миқдори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50 000 000 сум)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14.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Депозитарий “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Самарқанд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вақт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МЧЖ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томонидан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корпоратив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бошқарув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тизимини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баҳолаш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эшитиш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AC4B12" w:rsidRPr="00AC4B12" w:rsidTr="00D124CF">
        <w:trPr>
          <w:gridAfter w:val="1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15.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Корхоналарда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харидлар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жараёнининг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шаффофлиги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асослилиги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жумладан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маҳаллий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маҳсулотларнинг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сифат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нарх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белгиланган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параметрларга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мувофиқлигини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ҳисобга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олган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ҳолда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импорт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харидларини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шунингдек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валюта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ресурсларидан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самарали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фойдаланилиши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тўғрисида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ташқи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аудит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хулосасини</w:t>
            </w:r>
            <w:proofErr w:type="spellEnd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тасдиқлаш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100,0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1 182 324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C4B12" w:rsidRPr="00AC4B12" w:rsidRDefault="00AC4B12" w:rsidP="00AC4B12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AC4B12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№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Полные формулировки решений, принятых общим собранием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дон” АЖ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умумий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йиғилишнинг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саноқ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Умар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Адизов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Мафтуна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Аҳмедова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Шербек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Қахаровлар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сайланганлиги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ишчи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президиумига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Ш.Хужабеков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-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йиғилиш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раиси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вакили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),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Т.Худойбердиев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бошқарув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раиси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),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Р.Тўраев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)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котибликка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А.Сайфуллаев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акциядорлар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билан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корпоратив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алоқалар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ўрнатиш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бўлими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мутахассиси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)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сайланганлиги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Акциядорлар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умумий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йиғилишининг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кун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тартиби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регламенти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дон”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АЖнинг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2021-йил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Ташқи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аудитор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ижро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этувчи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орган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самарадорлиги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кўрсаткичи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СЙК 84,6%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ўрта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даража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мустақил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баҳоловчи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корпоратив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бошқарув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542 балл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қониқарли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баҳоланганини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эътиборга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ҳолда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,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дон” АЖ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бошқаруви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раисининг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олиб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борган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ишлари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қониқарли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деб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топилсин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Ўзбекистон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Республикаси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Президентининг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2019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24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августдаги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ПК-4426-сонли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қарори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талабларига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мувофиқ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Оқтошдон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ишлаб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чиқаришни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маҳаллийлаштириш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саноатда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кооперация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алоқаларини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кенгайтириш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масалалари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директорининг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дон” АЖ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бухгалтерлик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баланси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фойда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зарарлари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тўғрисидаги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дон” АЖ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ташқи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ижобий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ижро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этувчи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орган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самарадорлиги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йиғинди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кўрсаткичи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(СЙК 84,6%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ўрта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даража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”)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2021-йил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молия-хўжалик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888637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сўм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соф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фойдаси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қуйидагича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тақсимлансин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: -50,0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фоизини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ишлаб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чиқаришни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ривожлантириш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фондига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-50,0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фоизини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- дивиденд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тўловларига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(бунда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дона акция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313,2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сўм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)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тўлашга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йўналтирилсин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Дивидендлар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31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мартдан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31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майгача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муддатда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фойданинг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тақсимоти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дивидендларни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вақтида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тўлаш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масъулияти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бош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ҳисобчиси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У.Ортиқовга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юклатилсин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дон” АЖ 2022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қуйидаги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таркибда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: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Хужабеков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Шавкат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Жуманович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вакили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Узаков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Шухрат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Аъламович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вакили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Хасанов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Баходир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Рамзиддинович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вакили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Нодир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Жахонович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вакили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Рахмонқул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Юлдошевич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Шохрухмирзо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МЧЖ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раҳбари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Хасанов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Сардор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Тадбиркор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Шахноза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Нарпай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Элита дон” МЧЖ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таҳлилчиси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ўрнатилган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тартибда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амалдаги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меъёрий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хужжатлар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асосида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моддий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рағбатлантирилсин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янги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таркиб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сайлангани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муносабати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билан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А.Салихов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ваколати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тугатилганлиги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инобатга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олинсин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аьзолари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қуйидаги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таркибда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тасдиклансин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: Хасанова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Гавҳар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–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Тадбиркор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Жавоҳир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–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Тадбиркор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; Хасанова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Орзигул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Назиржон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-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Тадбиркор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ўрнатилган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тартибда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амалдаги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меъёрий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хужжатлар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асосида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моддий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рағбатлантирилсин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12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бошқарув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раиси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лавозимига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Хасанович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тайинлансин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муддатга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меҳнат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шартномаси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тузилсин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ижро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органи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аъзолари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ўрнатилган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тартибда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амалдаги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меъёрий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хужжатлар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асосида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моддий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рағбатлантирилсин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13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2022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аудиторлик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текширувини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ўтказиш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юзасидан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чоракда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чораклик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бериш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шарти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билан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аудитор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текширувини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ўтказиш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“JAVLON АUDIT SERVES” МЧЖ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аудиторлик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тасдиқлансин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хизмат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хақи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50 000 000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сўм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миқдорда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белгилансин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бош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ҳисобчиси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У.Ортиқовга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чоракда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“JAVLON АUDIT SERVES” МЧЖ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аудиторлик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томонидан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молиявий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текшириш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ҳужжатлар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билан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таъминлаш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этиш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вазифаси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юклатилсин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Корпоратив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бошқарув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кодекси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талабларига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мувофиқ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2021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йил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якуни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мустақил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ташкилот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томонидан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ўтказилган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корпоратив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фаолиятни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баҳолаш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юзасидан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берилган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маълумот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қабул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қилинсин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15</w:t>
            </w:r>
          </w:p>
        </w:tc>
        <w:tc>
          <w:tcPr>
            <w:tcW w:w="0" w:type="auto"/>
            <w:gridSpan w:val="1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Оқтош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дон”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акциядорлик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жамияти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харидлар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жараёниниг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шаффофлиги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асослилиги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шу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жумладан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,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махаллий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маҳсулотларнинг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сифат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нарх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бўйича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белгиланган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параметрларга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мувофиқлилигини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хисобга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олган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холда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импорт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харидларини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шунингдек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валюта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ресурсларидан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самарали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фойдаланилиши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тўғрисида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ташқи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аудит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хулосаси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маълумот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учун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қабул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қилинсин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</w:tr>
      <w:tr w:rsidR="006D1001" w:rsidRPr="006D1001" w:rsidTr="00D124CF">
        <w:trPr>
          <w:gridAfter w:val="3"/>
        </w:trPr>
        <w:tc>
          <w:tcPr>
            <w:tcW w:w="0" w:type="auto"/>
            <w:gridSpan w:val="1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Начисленные и выплаченные вознаграждения и (или) компенсации в пользу членов исполнительного органа, наблюдательного совета и ревизионной комиссии эмитента:***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Наименование органа эмитента, членом которого является лицо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Вид выплаты (вознаграждения и (или) компенсация)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Начисленная сумма (сум)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Период, за который начислены средства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Документ, в котором предусмотрена выплата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Салихов Ахмед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Собитович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19 440 000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Узаков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Шухрат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Аъламович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19 440 000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Баходир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Рамзиддинович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19 440 000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Нодир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Жахонович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19 440 000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Тўраев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Рахмонқул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Юлдошевич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19 440 000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тўғрисдаги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Сардор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19 440 000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6D1001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Шахноза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</w:t>
            </w:r>
            <w:bookmarkStart w:id="0" w:name="_GoBack"/>
            <w:bookmarkEnd w:id="0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9 440 000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D1001" w:rsidRPr="006D1001" w:rsidRDefault="006D1001" w:rsidP="006D1001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6D1001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D124CF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Ёқубов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Ўктам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Адиманнат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7A2BCE" w:rsidRDefault="007A2BCE" w:rsidP="00D124CF">
            <w:pPr>
              <w:spacing w:after="0" w:line="240" w:lineRule="auto"/>
              <w:jc w:val="center"/>
              <w:rPr>
                <w:rFonts w:eastAsia="Times New Roman" w:cs="Times New Roman"/>
                <w:color w:val="333333"/>
                <w:lang w:val="uz-Cyrl-UZ" w:eastAsia="ru-RU"/>
              </w:rPr>
            </w:pPr>
            <w:r>
              <w:rPr>
                <w:rFonts w:eastAsia="Times New Roman" w:cs="Times New Roman"/>
                <w:color w:val="333333"/>
                <w:lang w:val="uz-Cyrl-UZ" w:eastAsia="ru-RU"/>
              </w:rPr>
              <w:t>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Кузатув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кенгаши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D124CF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Хасанова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Гавҳар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9 720 000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D124CF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Жавохир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9 720 000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D124CF" w:rsidTr="00D124CF">
        <w:trPr>
          <w:gridAfter w:val="3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Хасанова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Орзигул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Назиржон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аъзоси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вознаграждения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9 720 000</w:t>
            </w: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2021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Тафтиш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комиссияси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тўғрисдаги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Низом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gridSpan w:val="1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Избрание членов наблюдательного совета: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gridSpan w:val="1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Информация о кандидатах: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Количество голосов: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место работы</w:t>
            </w:r>
          </w:p>
        </w:tc>
        <w:tc>
          <w:tcPr>
            <w:tcW w:w="0" w:type="auto"/>
            <w:gridSpan w:val="7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принадлежащие им акции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тип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Хужабеков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Шавкат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Жуманович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ИИ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ЭИ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бошкармаси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бошлиги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Узаков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Шухрат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Аъламович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бошқарув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раиси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биринчи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ўринбосари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Баходир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Рамзиддинович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МЭ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СБ бош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Жумаев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Нодир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Жахонович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Ўздонмаҳсулот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АК И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ва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ЯТЖЕБ бош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мутахассиси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Тўраев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Рахмонқул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Юлдошевич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Шохрухмирзо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МЧЖ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рахбари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Хасанов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Сардор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Тадбиркор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Шахноза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Тўра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қизи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Нарпай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элита дон” МЧЖ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тахлилчиси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rPr>
          <w:gridAfter w:val="2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Ёқубов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Ўктам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Адиманнат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ўғли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“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Нарпай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Элитадон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” МЧЖ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ҳайдовчиси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0</w:t>
            </w:r>
          </w:p>
        </w:tc>
      </w:tr>
      <w:tr w:rsidR="00D124CF" w:rsidRPr="00D124CF" w:rsidTr="00D12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Худойбердиев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Тура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Хасанович</w:t>
            </w:r>
            <w:proofErr w:type="spellEnd"/>
          </w:p>
        </w:tc>
      </w:tr>
      <w:tr w:rsidR="00D124CF" w:rsidRPr="00D124CF" w:rsidTr="00D12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Ортиков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Улугбек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Болтатошевич</w:t>
            </w:r>
            <w:proofErr w:type="spellEnd"/>
          </w:p>
        </w:tc>
      </w:tr>
      <w:tr w:rsidR="00D124CF" w:rsidRPr="00D124CF" w:rsidTr="00D124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0" w:type="auto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gridSpan w:val="12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124CF" w:rsidRPr="00D124CF" w:rsidRDefault="00D124CF" w:rsidP="00D124CF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lang w:eastAsia="ru-RU"/>
              </w:rPr>
            </w:pP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Сайфуллаев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Азизбек</w:t>
            </w:r>
            <w:proofErr w:type="spellEnd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D124CF">
              <w:rPr>
                <w:rFonts w:ascii="OpenSansRegular" w:eastAsia="Times New Roman" w:hAnsi="OpenSansRegular" w:cs="Times New Roman"/>
                <w:color w:val="333333"/>
                <w:lang w:eastAsia="ru-RU"/>
              </w:rPr>
              <w:t>Алишерович</w:t>
            </w:r>
            <w:proofErr w:type="spellEnd"/>
          </w:p>
        </w:tc>
      </w:tr>
    </w:tbl>
    <w:p w:rsidR="00803F16" w:rsidRDefault="00803F16" w:rsidP="00AC4B12">
      <w:pPr>
        <w:ind w:firstLine="708"/>
      </w:pPr>
    </w:p>
    <w:p w:rsidR="00AC4B12" w:rsidRPr="00AC4B12" w:rsidRDefault="00AC4B12" w:rsidP="00AC4B12">
      <w:pPr>
        <w:ind w:firstLine="708"/>
      </w:pPr>
    </w:p>
    <w:sectPr w:rsidR="00AC4B12" w:rsidRPr="00AC4B12" w:rsidSect="00694F68">
      <w:pgSz w:w="16838" w:h="11906" w:orient="landscape"/>
      <w:pgMar w:top="624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57"/>
    <w:rsid w:val="00030BC9"/>
    <w:rsid w:val="000940DE"/>
    <w:rsid w:val="00125992"/>
    <w:rsid w:val="00216839"/>
    <w:rsid w:val="00370B57"/>
    <w:rsid w:val="003B3547"/>
    <w:rsid w:val="003C1308"/>
    <w:rsid w:val="00694F68"/>
    <w:rsid w:val="006D1001"/>
    <w:rsid w:val="00704755"/>
    <w:rsid w:val="00726450"/>
    <w:rsid w:val="007A2BCE"/>
    <w:rsid w:val="007B4EDE"/>
    <w:rsid w:val="00803F16"/>
    <w:rsid w:val="00823FD5"/>
    <w:rsid w:val="00A227C2"/>
    <w:rsid w:val="00A641AA"/>
    <w:rsid w:val="00A912DE"/>
    <w:rsid w:val="00AC4B12"/>
    <w:rsid w:val="00B97F80"/>
    <w:rsid w:val="00CE3731"/>
    <w:rsid w:val="00D124CF"/>
    <w:rsid w:val="00D90166"/>
    <w:rsid w:val="00D96FFF"/>
    <w:rsid w:val="00F56C64"/>
    <w:rsid w:val="00F7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77212-9713-4A49-BE57-D828EF83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0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C4B12"/>
  </w:style>
  <w:style w:type="paragraph" w:customStyle="1" w:styleId="text-center">
    <w:name w:val="text-center"/>
    <w:basedOn w:val="a"/>
    <w:rsid w:val="00AC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B12"/>
    <w:rPr>
      <w:b/>
      <w:bCs/>
    </w:rPr>
  </w:style>
  <w:style w:type="character" w:styleId="a5">
    <w:name w:val="Hyperlink"/>
    <w:basedOn w:val="a0"/>
    <w:uiPriority w:val="99"/>
    <w:semiHidden/>
    <w:unhideWhenUsed/>
    <w:rsid w:val="00AC4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4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qtoshdon.uz/" TargetMode="External"/><Relationship Id="rId4" Type="http://schemas.openxmlformats.org/officeDocument/2006/relationships/hyperlink" Target="mailto:oqtoshd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DEFENDER</cp:lastModifiedBy>
  <cp:revision>27</cp:revision>
  <dcterms:created xsi:type="dcterms:W3CDTF">2018-12-17T04:54:00Z</dcterms:created>
  <dcterms:modified xsi:type="dcterms:W3CDTF">2022-04-12T07:02:00Z</dcterms:modified>
</cp:coreProperties>
</file>